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18" w:rsidRDefault="006F4B18" w:rsidP="006F4B18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6F4B18" w:rsidRDefault="006F4B18" w:rsidP="006F4B18">
      <w:pPr>
        <w:rPr>
          <w:color w:val="000000"/>
        </w:rPr>
      </w:pPr>
    </w:p>
    <w:p w:rsidR="006F4B18" w:rsidRDefault="006F4B18" w:rsidP="006F4B18">
      <w:pPr>
        <w:rPr>
          <w:color w:val="000000"/>
        </w:rPr>
      </w:pPr>
    </w:p>
    <w:p w:rsidR="006F4B18" w:rsidRDefault="006F4B18" w:rsidP="006F4B18">
      <w:pPr>
        <w:tabs>
          <w:tab w:val="center" w:pos="2520"/>
        </w:tabs>
        <w:spacing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Statystyka</w:t>
      </w:r>
    </w:p>
    <w:p w:rsidR="006F4B18" w:rsidRDefault="006F4B18" w:rsidP="006F4B18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6F4B18" w:rsidRDefault="006F4B18" w:rsidP="006F4B1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 II     Semestr: 3</w:t>
      </w:r>
    </w:p>
    <w:p w:rsidR="006F4B18" w:rsidRDefault="006F4B18" w:rsidP="006F4B18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6F4B18" w:rsidRDefault="006F4B18" w:rsidP="006F4B18">
      <w:pPr>
        <w:spacing w:line="360" w:lineRule="auto"/>
        <w:rPr>
          <w:color w:val="000000"/>
        </w:rPr>
      </w:pPr>
      <w:r>
        <w:rPr>
          <w:color w:val="000000"/>
        </w:rPr>
        <w:t xml:space="preserve">    dr hab. Prof. PWSZ w Nysie Mariusz Czekała</w:t>
      </w: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mgr Agnieszka Szpara</w:t>
      </w: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070"/>
        <w:gridCol w:w="1873"/>
        <w:gridCol w:w="1857"/>
        <w:gridCol w:w="1151"/>
        <w:gridCol w:w="1603"/>
      </w:tblGrid>
      <w:tr w:rsidR="006F4B18" w:rsidTr="00504537">
        <w:tc>
          <w:tcPr>
            <w:tcW w:w="117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6F4B18" w:rsidRDefault="006F4B18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6F4B18" w:rsidRDefault="006F4B18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6F4B18" w:rsidTr="00504537">
        <w:tc>
          <w:tcPr>
            <w:tcW w:w="117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1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</w:p>
        </w:tc>
      </w:tr>
      <w:tr w:rsidR="006F4B18" w:rsidTr="00504537">
        <w:tc>
          <w:tcPr>
            <w:tcW w:w="117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 pisemny</w:t>
            </w:r>
          </w:p>
        </w:tc>
        <w:tc>
          <w:tcPr>
            <w:tcW w:w="191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kolokwia</w:t>
            </w:r>
          </w:p>
        </w:tc>
        <w:tc>
          <w:tcPr>
            <w:tcW w:w="1880" w:type="dxa"/>
            <w:vAlign w:val="center"/>
          </w:tcPr>
          <w:p w:rsidR="006F4B18" w:rsidRDefault="006F4B18" w:rsidP="00504537">
            <w:pPr>
              <w:rPr>
                <w:color w:val="000000"/>
              </w:rPr>
            </w:pPr>
            <w:r>
              <w:rPr>
                <w:color w:val="000000"/>
              </w:rPr>
              <w:t>Rozwiązanie zadań w Excelu</w:t>
            </w:r>
          </w:p>
        </w:tc>
        <w:tc>
          <w:tcPr>
            <w:tcW w:w="116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6F4B18" w:rsidRDefault="006F4B18" w:rsidP="00504537">
            <w:pPr>
              <w:jc w:val="center"/>
              <w:rPr>
                <w:color w:val="000000"/>
              </w:rPr>
            </w:pPr>
          </w:p>
        </w:tc>
      </w:tr>
    </w:tbl>
    <w:p w:rsidR="006F4B18" w:rsidRDefault="006F4B18" w:rsidP="006F4B18">
      <w:pPr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6</w:t>
      </w:r>
    </w:p>
    <w:p w:rsidR="006F4B18" w:rsidRDefault="006F4B18" w:rsidP="006F4B18">
      <w:p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11. Poziom (podstawowy/zaawansowany): podstawowy</w:t>
      </w:r>
    </w:p>
    <w:p w:rsidR="006F4B18" w:rsidRDefault="006F4B18" w:rsidP="006F4B18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F4B18" w:rsidRDefault="006F4B18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 Wymagana jest podstawowa wiedza z analizy matematycznej i algebry liniowej.,</w:t>
            </w: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F4B18" w:rsidRDefault="006F4B18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F4B18" w:rsidRDefault="006F4B18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Celem wykładu jest zapoznanie słuchaczy z podstawowymi pojęciami i metodami rachunku prawdopodobieństwa i statystyki opisowej, w tym elementami analizy danych statystycznych</w:t>
            </w: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F4B18" w:rsidRDefault="006F4B18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Metody analizy rozkładu cechy. Elementy wnioskowania statystycznego. Próba losowa i rozkłady statystyk z próby. Estymatory i estymacja przedziałowa. Hipotezy statystyczne i ich weryfikacja. Testy istotności i test zgodności. Badanie zależności cech. Model regresji liniowej. Weryfikacja i wnioskowanie w modelu regresji liniowej. Analiza szeregów czasowych, wyznaczanie trendu i sezonowości, prognozowanie, indeksy statystyczne. Symulacje . Metoda Monte Carlo.</w:t>
            </w: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6F4B18" w:rsidRDefault="006F4B18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Projektowanie badania statystycznego. 2. Opracowanie i prezentacja materiału statystycznego. 3. Charakterystyki liczbowe (miary położenia, zmienności, asymetrii, koncentracji). 4. Prawdopodobieństwo klasyczne, zadane przez gęstość. 5. Prawdopodobieństwo warunkowe, całkowite. Wzór Bayesa. 6. Zmienne losowe dyskretne. Rozkład </w:t>
            </w:r>
            <w:proofErr w:type="spellStart"/>
            <w:r>
              <w:rPr>
                <w:color w:val="000000"/>
              </w:rPr>
              <w:t>Bernoulli'ego</w:t>
            </w:r>
            <w:proofErr w:type="spellEnd"/>
            <w:r>
              <w:rPr>
                <w:color w:val="000000"/>
              </w:rPr>
              <w:t>, Poissona. 7. Zmienne losowe ciągłe. Rozkład jednostajny, wykładniczy, normalny. 8. Prawo wielkich liczb, centralne twierdzenie graniczne jako podstawy statystyki. 9. Symulacje. Metoda Monte Carlo.</w:t>
            </w: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6F4B18" w:rsidRDefault="006F4B18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Prezentacja danych statystycznych, wykresów, obliczanie miar statystycznych z wykorzystaniem programy Excel. Wykorzystanie funkcji i rozkładów zawartych w Excelu  do obliczania prawdopodobieństwa. </w:t>
            </w: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F4B18" w:rsidRDefault="006F4B18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F4B18" w:rsidRDefault="006F4B18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F4B18" w:rsidRDefault="006F4B18" w:rsidP="006F4B18">
            <w:pPr>
              <w:numPr>
                <w:ilvl w:val="0"/>
                <w:numId w:val="1"/>
              </w:numPr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Ostasiewicz</w:t>
            </w:r>
            <w:proofErr w:type="spellEnd"/>
            <w:r>
              <w:rPr>
                <w:color w:val="000000"/>
              </w:rPr>
              <w:t xml:space="preserve">, Z. </w:t>
            </w:r>
            <w:proofErr w:type="spellStart"/>
            <w:r>
              <w:rPr>
                <w:color w:val="000000"/>
              </w:rPr>
              <w:t>Rusnak</w:t>
            </w:r>
            <w:proofErr w:type="spellEnd"/>
            <w:r>
              <w:rPr>
                <w:color w:val="000000"/>
              </w:rPr>
              <w:t>, U. Siedlecka, Statystyka. Elementy teorii i zadania. Wydawnictwo Akademii Ekonomicznej we Wrocławiu, Wrocław 2003.</w:t>
            </w:r>
          </w:p>
          <w:p w:rsidR="006F4B18" w:rsidRDefault="006F4B18" w:rsidP="006F4B18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Metody statystyczne / Aleksander </w:t>
            </w:r>
            <w:proofErr w:type="spellStart"/>
            <w:r>
              <w:rPr>
                <w:color w:val="000000"/>
              </w:rPr>
              <w:t>Zeliaś</w:t>
            </w:r>
            <w:proofErr w:type="spellEnd"/>
            <w:r>
              <w:rPr>
                <w:color w:val="000000"/>
              </w:rPr>
              <w:t>. - Warszawa : Polskie Wydaw. Ekonomiczne, 2000.</w:t>
            </w:r>
          </w:p>
          <w:p w:rsidR="006F4B18" w:rsidRDefault="006F4B18" w:rsidP="006F4B18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Metody statystyczne : zadania i sprawdziany / Aleksander </w:t>
            </w:r>
            <w:proofErr w:type="spellStart"/>
            <w:r>
              <w:rPr>
                <w:color w:val="000000"/>
              </w:rPr>
              <w:t>Zeliaś</w:t>
            </w:r>
            <w:proofErr w:type="spellEnd"/>
            <w:r>
              <w:rPr>
                <w:color w:val="000000"/>
              </w:rPr>
              <w:t>, Barbara Pawełek, Stanisław Wanat. - Warszawa : Polskie Wydaw. Ekonomiczne, 2002.</w:t>
            </w:r>
          </w:p>
        </w:tc>
      </w:tr>
    </w:tbl>
    <w:p w:rsidR="006F4B18" w:rsidRDefault="006F4B18" w:rsidP="006F4B18">
      <w:pPr>
        <w:spacing w:line="360" w:lineRule="auto"/>
        <w:jc w:val="both"/>
        <w:rPr>
          <w:color w:val="000000"/>
        </w:rPr>
      </w:pPr>
    </w:p>
    <w:p w:rsidR="006F4B18" w:rsidRDefault="006F4B18" w:rsidP="006F4B18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F4B1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F4B18" w:rsidRDefault="006F4B18" w:rsidP="0050453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4D0F"/>
    <w:multiLevelType w:val="hybridMultilevel"/>
    <w:tmpl w:val="0638D876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B"/>
    <w:rsid w:val="004B6346"/>
    <w:rsid w:val="004D4CC7"/>
    <w:rsid w:val="006F4B18"/>
    <w:rsid w:val="0075220A"/>
    <w:rsid w:val="009F267B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2011-10-10T16:54:00Z</dcterms:created>
  <dcterms:modified xsi:type="dcterms:W3CDTF">2011-10-10T16:54:00Z</dcterms:modified>
</cp:coreProperties>
</file>